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D58CB" w14:textId="1DE86BAF" w:rsidR="00BC6C1A" w:rsidRDefault="00BC6C1A">
      <w:pPr>
        <w:tabs>
          <w:tab w:val="num" w:pos="0"/>
        </w:tabs>
        <w:ind w:left="432" w:hanging="432"/>
      </w:pPr>
      <w:r>
        <w:rPr>
          <w:noProof/>
        </w:rPr>
        <w:drawing>
          <wp:inline distT="0" distB="0" distL="0" distR="0" wp14:anchorId="7877ECCA" wp14:editId="75CFEF5B">
            <wp:extent cx="6120130" cy="1319530"/>
            <wp:effectExtent l="0" t="0" r="0" b="0"/>
            <wp:docPr id="2" name="Immagine 2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testo&#10;&#10;Descrizione generata automa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319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DF50E8" w14:textId="77777777" w:rsidR="00325886" w:rsidRDefault="00297B3C">
      <w:pPr>
        <w:pStyle w:val="Titolo"/>
        <w:numPr>
          <w:ilvl w:val="0"/>
          <w:numId w:val="1"/>
        </w:numPr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  <w:t>Scheda di sintesi sulla rilevazione degli OIV o organismi con funzioni analoghe</w:t>
      </w:r>
    </w:p>
    <w:p w14:paraId="7D2FC605" w14:textId="77777777" w:rsidR="00325886" w:rsidRDefault="00325886">
      <w:pPr>
        <w:pStyle w:val="Paragrafoelenco"/>
        <w:ind w:left="0" w:firstLine="0"/>
        <w:rPr>
          <w:rFonts w:ascii="Titillium" w:hAnsi="Titillium"/>
          <w:sz w:val="20"/>
          <w:szCs w:val="20"/>
        </w:rPr>
      </w:pPr>
    </w:p>
    <w:p w14:paraId="2CCCA3AE" w14:textId="77777777" w:rsidR="00325886" w:rsidRPr="002A3EB5" w:rsidRDefault="00297B3C" w:rsidP="002A3EB5">
      <w:pPr>
        <w:pStyle w:val="Paragrafoelenco"/>
        <w:spacing w:line="360" w:lineRule="auto"/>
        <w:ind w:left="0" w:firstLine="0"/>
        <w:rPr>
          <w:rFonts w:ascii="Titillium" w:hAnsi="Titillium"/>
          <w:b/>
          <w:i/>
          <w:sz w:val="20"/>
          <w:szCs w:val="20"/>
        </w:rPr>
      </w:pPr>
      <w:r>
        <w:rPr>
          <w:rFonts w:ascii="Titillium" w:hAnsi="Titillium"/>
          <w:b/>
          <w:i/>
          <w:sz w:val="20"/>
          <w:szCs w:val="20"/>
        </w:rPr>
        <w:t>Data di svolgimento della rilevazione</w:t>
      </w:r>
    </w:p>
    <w:p w14:paraId="41B01969" w14:textId="77777777" w:rsidR="002A3EB5" w:rsidRDefault="002A3EB5">
      <w:pPr>
        <w:pStyle w:val="Paragrafoelenco"/>
        <w:spacing w:line="276" w:lineRule="auto"/>
        <w:ind w:left="0" w:firstLine="0"/>
        <w:rPr>
          <w:rFonts w:ascii="Titillium" w:hAnsi="Titillium"/>
          <w:sz w:val="20"/>
          <w:szCs w:val="20"/>
        </w:rPr>
      </w:pPr>
      <w:r w:rsidRPr="002A3EB5">
        <w:rPr>
          <w:rFonts w:ascii="Titillium" w:hAnsi="Titillium"/>
          <w:sz w:val="20"/>
          <w:szCs w:val="20"/>
        </w:rPr>
        <w:t>D</w:t>
      </w:r>
      <w:r w:rsidR="00297B3C" w:rsidRPr="002A3EB5">
        <w:rPr>
          <w:rFonts w:ascii="Titillium" w:hAnsi="Titillium"/>
          <w:sz w:val="20"/>
          <w:szCs w:val="20"/>
        </w:rPr>
        <w:t>ata di inizio</w:t>
      </w:r>
      <w:r w:rsidR="00297B3C">
        <w:rPr>
          <w:rFonts w:ascii="Titillium" w:hAnsi="Titillium"/>
          <w:sz w:val="20"/>
          <w:szCs w:val="20"/>
          <w:u w:val="single"/>
        </w:rPr>
        <w:t xml:space="preserve"> </w:t>
      </w:r>
      <w:r>
        <w:rPr>
          <w:rFonts w:ascii="Titillium" w:hAnsi="Titillium"/>
          <w:sz w:val="20"/>
          <w:szCs w:val="20"/>
        </w:rPr>
        <w:t>29/05/2021</w:t>
      </w:r>
    </w:p>
    <w:p w14:paraId="1BCBAAC3" w14:textId="77777777" w:rsidR="00325886" w:rsidRDefault="002A3EB5">
      <w:pPr>
        <w:pStyle w:val="Paragrafoelenco"/>
        <w:spacing w:line="276" w:lineRule="auto"/>
        <w:ind w:left="0" w:firstLine="0"/>
        <w:rPr>
          <w:rFonts w:ascii="Titillium" w:hAnsi="Titillium"/>
          <w:sz w:val="20"/>
          <w:szCs w:val="20"/>
          <w:u w:val="single"/>
        </w:rPr>
      </w:pPr>
      <w:r>
        <w:rPr>
          <w:rFonts w:ascii="Titillium" w:hAnsi="Titillium"/>
          <w:sz w:val="20"/>
          <w:szCs w:val="20"/>
        </w:rPr>
        <w:t>D</w:t>
      </w:r>
      <w:r w:rsidR="00297B3C">
        <w:rPr>
          <w:rFonts w:ascii="Titillium" w:hAnsi="Titillium"/>
          <w:sz w:val="20"/>
          <w:szCs w:val="20"/>
        </w:rPr>
        <w:t>ata fine rilevazi</w:t>
      </w:r>
      <w:r>
        <w:rPr>
          <w:rFonts w:ascii="Titillium" w:hAnsi="Titillium"/>
          <w:sz w:val="20"/>
          <w:szCs w:val="20"/>
        </w:rPr>
        <w:t>one 30/05/2021</w:t>
      </w:r>
    </w:p>
    <w:p w14:paraId="6F62B79B" w14:textId="77777777" w:rsidR="00325886" w:rsidRDefault="00325886">
      <w:pPr>
        <w:pStyle w:val="Paragrafoelenco"/>
        <w:spacing w:line="276" w:lineRule="auto"/>
        <w:ind w:left="0" w:firstLine="0"/>
        <w:rPr>
          <w:rFonts w:ascii="Titillium" w:hAnsi="Titillium"/>
          <w:sz w:val="20"/>
          <w:szCs w:val="20"/>
        </w:rPr>
      </w:pPr>
    </w:p>
    <w:p w14:paraId="392A9B10" w14:textId="77777777" w:rsidR="00325886" w:rsidRDefault="00325886">
      <w:pPr>
        <w:pStyle w:val="Paragrafoelenco"/>
        <w:spacing w:after="0"/>
        <w:ind w:left="0" w:firstLine="0"/>
        <w:rPr>
          <w:rFonts w:ascii="Titillium" w:hAnsi="Titillium"/>
          <w:b/>
          <w:i/>
          <w:sz w:val="20"/>
          <w:szCs w:val="20"/>
        </w:rPr>
      </w:pPr>
    </w:p>
    <w:p w14:paraId="328B8211" w14:textId="77777777" w:rsidR="00325886" w:rsidRDefault="00325886">
      <w:pPr>
        <w:pStyle w:val="Paragrafoelenco"/>
        <w:spacing w:after="0" w:line="276" w:lineRule="auto"/>
        <w:ind w:left="720" w:firstLine="0"/>
        <w:rPr>
          <w:rFonts w:ascii="Titillium" w:hAnsi="Titillium"/>
          <w:sz w:val="20"/>
          <w:szCs w:val="20"/>
        </w:rPr>
      </w:pPr>
    </w:p>
    <w:p w14:paraId="2D098411" w14:textId="77777777" w:rsidR="00325886" w:rsidRDefault="00297B3C">
      <w:pPr>
        <w:pStyle w:val="Paragrafoelenco"/>
        <w:spacing w:line="360" w:lineRule="auto"/>
        <w:ind w:left="0" w:firstLine="0"/>
        <w:rPr>
          <w:rFonts w:ascii="Titillium" w:hAnsi="Titillium"/>
          <w:b/>
          <w:i/>
          <w:sz w:val="20"/>
          <w:szCs w:val="20"/>
        </w:rPr>
      </w:pPr>
      <w:r>
        <w:rPr>
          <w:rFonts w:ascii="Titillium" w:hAnsi="Titillium"/>
          <w:b/>
          <w:i/>
          <w:sz w:val="20"/>
          <w:szCs w:val="20"/>
        </w:rPr>
        <w:t xml:space="preserve">Procedure e modalità seguite per la rilevazione </w:t>
      </w:r>
    </w:p>
    <w:p w14:paraId="611C5B5D" w14:textId="77777777" w:rsidR="002A3EB5" w:rsidRDefault="002A3EB5">
      <w:pPr>
        <w:pStyle w:val="Paragrafoelenco"/>
        <w:spacing w:line="360" w:lineRule="auto"/>
        <w:ind w:left="0" w:firstLine="0"/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  <w:t>L’OIV ha seguito le seguenti azioni di verifica e controllo dell’ente:</w:t>
      </w:r>
    </w:p>
    <w:p w14:paraId="17E9DACD" w14:textId="77777777" w:rsidR="002A3EB5" w:rsidRPr="002A3EB5" w:rsidRDefault="002A3EB5">
      <w:pPr>
        <w:pStyle w:val="Paragrafoelenco"/>
        <w:spacing w:line="360" w:lineRule="auto"/>
        <w:ind w:left="0" w:firstLine="0"/>
        <w:rPr>
          <w:rFonts w:ascii="Titillium" w:hAnsi="Titillium"/>
          <w:sz w:val="20"/>
          <w:szCs w:val="20"/>
        </w:rPr>
      </w:pPr>
    </w:p>
    <w:p w14:paraId="017BA00D" w14:textId="77777777" w:rsidR="00325886" w:rsidRDefault="00297B3C">
      <w:pPr>
        <w:pStyle w:val="Default"/>
        <w:numPr>
          <w:ilvl w:val="0"/>
          <w:numId w:val="2"/>
        </w:numPr>
        <w:tabs>
          <w:tab w:val="clear" w:pos="720"/>
          <w:tab w:val="left" w:pos="0"/>
        </w:tabs>
        <w:spacing w:line="360" w:lineRule="auto"/>
        <w:jc w:val="both"/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  <w:t>verifica dell’attività svolta dal Responsabile della prevenzione della corruzione e della trasparenza per riscontrare l’adempimento degli obblighi di pubblicazione;</w:t>
      </w:r>
    </w:p>
    <w:p w14:paraId="7EB7C153" w14:textId="77777777" w:rsidR="00325886" w:rsidRDefault="00297B3C">
      <w:pPr>
        <w:pStyle w:val="Default"/>
        <w:numPr>
          <w:ilvl w:val="0"/>
          <w:numId w:val="2"/>
        </w:numPr>
        <w:tabs>
          <w:tab w:val="clear" w:pos="720"/>
          <w:tab w:val="left" w:pos="0"/>
        </w:tabs>
        <w:spacing w:line="360" w:lineRule="auto"/>
        <w:jc w:val="both"/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  <w:t>esame della documentazione e delle banche dati relative ai dati oggetto di attestazione;</w:t>
      </w:r>
    </w:p>
    <w:p w14:paraId="6A808C9B" w14:textId="77777777" w:rsidR="00325886" w:rsidRDefault="00297B3C">
      <w:pPr>
        <w:pStyle w:val="Default"/>
        <w:numPr>
          <w:ilvl w:val="0"/>
          <w:numId w:val="2"/>
        </w:numPr>
        <w:tabs>
          <w:tab w:val="clear" w:pos="720"/>
          <w:tab w:val="left" w:pos="0"/>
        </w:tabs>
        <w:spacing w:line="360" w:lineRule="auto"/>
        <w:jc w:val="both"/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  <w:t>colloqui con i responsabili della trasmissione dei dati;</w:t>
      </w:r>
    </w:p>
    <w:p w14:paraId="609EFAA3" w14:textId="77777777" w:rsidR="00325886" w:rsidRDefault="00297B3C">
      <w:pPr>
        <w:pStyle w:val="Default"/>
        <w:numPr>
          <w:ilvl w:val="0"/>
          <w:numId w:val="2"/>
        </w:numPr>
        <w:tabs>
          <w:tab w:val="clear" w:pos="720"/>
          <w:tab w:val="left" w:pos="0"/>
        </w:tabs>
        <w:spacing w:line="360" w:lineRule="auto"/>
        <w:jc w:val="both"/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  <w:t>colloqui con i responsabili della pubblicazione dei dati;</w:t>
      </w:r>
    </w:p>
    <w:p w14:paraId="4E02215F" w14:textId="77777777" w:rsidR="00325886" w:rsidRDefault="00297B3C">
      <w:pPr>
        <w:pStyle w:val="Default"/>
        <w:numPr>
          <w:ilvl w:val="0"/>
          <w:numId w:val="2"/>
        </w:numPr>
        <w:tabs>
          <w:tab w:val="clear" w:pos="720"/>
          <w:tab w:val="left" w:pos="0"/>
        </w:tabs>
        <w:spacing w:line="360" w:lineRule="auto"/>
        <w:jc w:val="both"/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  <w:t>verifica diretta sul sito istituzionale, anche attraverso l’utilizzo di supporti informatici.</w:t>
      </w:r>
    </w:p>
    <w:p w14:paraId="42C71167" w14:textId="77777777" w:rsidR="00325886" w:rsidRDefault="00325886">
      <w:pPr>
        <w:spacing w:line="360" w:lineRule="auto"/>
        <w:rPr>
          <w:rFonts w:ascii="Titillium" w:hAnsi="Titillium"/>
          <w:sz w:val="20"/>
          <w:szCs w:val="20"/>
          <w:u w:val="single"/>
        </w:rPr>
      </w:pPr>
    </w:p>
    <w:p w14:paraId="69F378BA" w14:textId="77777777" w:rsidR="00325886" w:rsidRDefault="00325886">
      <w:pPr>
        <w:spacing w:line="360" w:lineRule="auto"/>
        <w:rPr>
          <w:rFonts w:ascii="Titillium" w:hAnsi="Titillium"/>
          <w:b/>
          <w:i/>
          <w:sz w:val="20"/>
          <w:szCs w:val="20"/>
        </w:rPr>
      </w:pPr>
    </w:p>
    <w:p w14:paraId="3C6B6F62" w14:textId="77777777" w:rsidR="00325886" w:rsidRDefault="00325886">
      <w:pPr>
        <w:spacing w:line="360" w:lineRule="auto"/>
        <w:rPr>
          <w:rFonts w:ascii="Titillium" w:hAnsi="Titillium"/>
          <w:b/>
          <w:sz w:val="20"/>
          <w:szCs w:val="20"/>
          <w:u w:val="single"/>
        </w:rPr>
      </w:pPr>
    </w:p>
    <w:p w14:paraId="009CC717" w14:textId="77777777" w:rsidR="00325886" w:rsidRDefault="00325886">
      <w:pPr>
        <w:spacing w:line="360" w:lineRule="auto"/>
        <w:rPr>
          <w:rFonts w:ascii="Titillium" w:hAnsi="Titillium"/>
          <w:b/>
          <w:sz w:val="20"/>
          <w:szCs w:val="20"/>
          <w:u w:val="single"/>
        </w:rPr>
      </w:pPr>
    </w:p>
    <w:p w14:paraId="08A82BC3" w14:textId="25C97FF2" w:rsidR="00325886" w:rsidRDefault="00297B3C">
      <w:pPr>
        <w:spacing w:line="360" w:lineRule="auto"/>
        <w:rPr>
          <w:rFonts w:ascii="Titillium" w:hAnsi="Titillium"/>
          <w:b/>
          <w:i/>
          <w:sz w:val="20"/>
          <w:szCs w:val="20"/>
        </w:rPr>
      </w:pPr>
      <w:r>
        <w:rPr>
          <w:rFonts w:ascii="Titillium" w:hAnsi="Titillium"/>
          <w:b/>
          <w:i/>
          <w:sz w:val="20"/>
          <w:szCs w:val="20"/>
        </w:rPr>
        <w:t xml:space="preserve">                                                                                                </w:t>
      </w:r>
      <w:r w:rsidR="002A3EB5">
        <w:rPr>
          <w:rFonts w:ascii="Titillium" w:hAnsi="Titillium"/>
          <w:b/>
          <w:i/>
          <w:sz w:val="20"/>
          <w:szCs w:val="20"/>
        </w:rPr>
        <w:t xml:space="preserve">              </w:t>
      </w:r>
      <w:r>
        <w:rPr>
          <w:rFonts w:ascii="Titillium" w:hAnsi="Titillium"/>
          <w:b/>
          <w:i/>
          <w:sz w:val="20"/>
          <w:szCs w:val="20"/>
        </w:rPr>
        <w:t xml:space="preserve"> O</w:t>
      </w:r>
      <w:r w:rsidR="00BC6C1A">
        <w:rPr>
          <w:rFonts w:ascii="Titillium" w:hAnsi="Titillium"/>
          <w:b/>
          <w:i/>
          <w:sz w:val="20"/>
          <w:szCs w:val="20"/>
        </w:rPr>
        <w:t>STETRICA</w:t>
      </w:r>
      <w:r>
        <w:rPr>
          <w:rFonts w:ascii="Titillium" w:hAnsi="Titillium"/>
          <w:b/>
          <w:i/>
          <w:sz w:val="20"/>
          <w:szCs w:val="20"/>
        </w:rPr>
        <w:t xml:space="preserve"> RPCT</w:t>
      </w:r>
      <w:r w:rsidR="00BC6C1A">
        <w:rPr>
          <w:rFonts w:ascii="Titillium" w:hAnsi="Titillium"/>
          <w:b/>
          <w:i/>
          <w:sz w:val="20"/>
          <w:szCs w:val="20"/>
        </w:rPr>
        <w:t xml:space="preserve">  </w:t>
      </w:r>
      <w:r>
        <w:rPr>
          <w:rFonts w:ascii="Titillium" w:hAnsi="Titillium"/>
          <w:b/>
          <w:i/>
          <w:sz w:val="20"/>
          <w:szCs w:val="20"/>
        </w:rPr>
        <w:t>EMILIA PELLEGRINI</w:t>
      </w:r>
    </w:p>
    <w:p w14:paraId="4B429893" w14:textId="0660DFC4" w:rsidR="00BC6C1A" w:rsidRDefault="00BC6C1A">
      <w:pPr>
        <w:spacing w:line="360" w:lineRule="auto"/>
        <w:rPr>
          <w:rFonts w:ascii="Titillium" w:hAnsi="Titillium"/>
          <w:b/>
          <w:i/>
          <w:sz w:val="20"/>
          <w:szCs w:val="20"/>
        </w:rPr>
      </w:pPr>
      <w:r>
        <w:rPr>
          <w:rFonts w:ascii="Titillium" w:hAnsi="Titillium"/>
          <w:b/>
          <w:i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22763827" wp14:editId="4D75220B">
            <wp:simplePos x="0" y="0"/>
            <wp:positionH relativeFrom="margin">
              <wp:align>right</wp:align>
            </wp:positionH>
            <wp:positionV relativeFrom="paragraph">
              <wp:posOffset>10160</wp:posOffset>
            </wp:positionV>
            <wp:extent cx="2842260" cy="685800"/>
            <wp:effectExtent l="0" t="0" r="0" b="0"/>
            <wp:wrapNone/>
            <wp:docPr id="3" name="Immagine 3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 descr="Immagine che contiene testo&#10;&#10;Descrizione generata automaticament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226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tillium" w:hAnsi="Titillium"/>
          <w:b/>
          <w:i/>
          <w:sz w:val="20"/>
          <w:szCs w:val="20"/>
        </w:rPr>
        <w:tab/>
      </w:r>
      <w:r>
        <w:rPr>
          <w:rFonts w:ascii="Titillium" w:hAnsi="Titillium"/>
          <w:b/>
          <w:i/>
          <w:sz w:val="20"/>
          <w:szCs w:val="20"/>
        </w:rPr>
        <w:tab/>
      </w:r>
      <w:r>
        <w:rPr>
          <w:rFonts w:ascii="Titillium" w:hAnsi="Titillium"/>
          <w:b/>
          <w:i/>
          <w:sz w:val="20"/>
          <w:szCs w:val="20"/>
        </w:rPr>
        <w:tab/>
      </w:r>
      <w:r>
        <w:rPr>
          <w:rFonts w:ascii="Titillium" w:hAnsi="Titillium"/>
          <w:b/>
          <w:i/>
          <w:sz w:val="20"/>
          <w:szCs w:val="20"/>
        </w:rPr>
        <w:tab/>
      </w:r>
      <w:r>
        <w:rPr>
          <w:rFonts w:ascii="Titillium" w:hAnsi="Titillium"/>
          <w:b/>
          <w:i/>
          <w:sz w:val="20"/>
          <w:szCs w:val="20"/>
        </w:rPr>
        <w:tab/>
      </w:r>
      <w:r>
        <w:rPr>
          <w:rFonts w:ascii="Titillium" w:hAnsi="Titillium"/>
          <w:b/>
          <w:i/>
          <w:sz w:val="20"/>
          <w:szCs w:val="20"/>
        </w:rPr>
        <w:tab/>
      </w:r>
      <w:r>
        <w:rPr>
          <w:rFonts w:ascii="Titillium" w:hAnsi="Titillium"/>
          <w:b/>
          <w:i/>
          <w:sz w:val="20"/>
          <w:szCs w:val="20"/>
        </w:rPr>
        <w:tab/>
      </w:r>
      <w:r>
        <w:rPr>
          <w:rFonts w:ascii="Titillium" w:hAnsi="Titillium"/>
          <w:b/>
          <w:i/>
          <w:sz w:val="20"/>
          <w:szCs w:val="20"/>
        </w:rPr>
        <w:tab/>
      </w:r>
      <w:r>
        <w:rPr>
          <w:rFonts w:ascii="Titillium" w:hAnsi="Titillium"/>
          <w:b/>
          <w:i/>
          <w:sz w:val="20"/>
          <w:szCs w:val="20"/>
        </w:rPr>
        <w:tab/>
      </w:r>
      <w:r>
        <w:rPr>
          <w:rFonts w:ascii="Titillium" w:hAnsi="Titillium"/>
          <w:b/>
          <w:i/>
          <w:sz w:val="20"/>
          <w:szCs w:val="20"/>
        </w:rPr>
        <w:tab/>
      </w:r>
      <w:r>
        <w:rPr>
          <w:rFonts w:ascii="Titillium" w:hAnsi="Titillium"/>
          <w:b/>
          <w:i/>
          <w:sz w:val="20"/>
          <w:szCs w:val="20"/>
        </w:rPr>
        <w:tab/>
      </w:r>
      <w:r>
        <w:rPr>
          <w:rFonts w:ascii="Titillium" w:hAnsi="Titillium"/>
          <w:b/>
          <w:i/>
          <w:sz w:val="20"/>
          <w:szCs w:val="20"/>
        </w:rPr>
        <w:tab/>
      </w:r>
    </w:p>
    <w:p w14:paraId="39645FDA" w14:textId="54C691A1" w:rsidR="00BC6C1A" w:rsidRDefault="00BC6C1A">
      <w:pPr>
        <w:spacing w:line="360" w:lineRule="auto"/>
        <w:rPr>
          <w:rFonts w:ascii="Titillium" w:hAnsi="Titillium"/>
          <w:b/>
          <w:i/>
          <w:sz w:val="20"/>
          <w:szCs w:val="20"/>
        </w:rPr>
      </w:pPr>
      <w:r>
        <w:rPr>
          <w:rFonts w:ascii="Titillium" w:hAnsi="Titillium"/>
          <w:b/>
          <w:i/>
          <w:sz w:val="20"/>
          <w:szCs w:val="20"/>
        </w:rPr>
        <w:tab/>
      </w:r>
      <w:r>
        <w:rPr>
          <w:rFonts w:ascii="Titillium" w:hAnsi="Titillium"/>
          <w:b/>
          <w:i/>
          <w:sz w:val="20"/>
          <w:szCs w:val="20"/>
        </w:rPr>
        <w:tab/>
      </w:r>
      <w:r>
        <w:rPr>
          <w:rFonts w:ascii="Titillium" w:hAnsi="Titillium"/>
          <w:b/>
          <w:i/>
          <w:sz w:val="20"/>
          <w:szCs w:val="20"/>
        </w:rPr>
        <w:tab/>
      </w:r>
      <w:r>
        <w:rPr>
          <w:rFonts w:ascii="Titillium" w:hAnsi="Titillium"/>
          <w:b/>
          <w:i/>
          <w:sz w:val="20"/>
          <w:szCs w:val="20"/>
        </w:rPr>
        <w:tab/>
      </w:r>
      <w:r>
        <w:rPr>
          <w:rFonts w:ascii="Titillium" w:hAnsi="Titillium"/>
          <w:b/>
          <w:i/>
          <w:sz w:val="20"/>
          <w:szCs w:val="20"/>
        </w:rPr>
        <w:tab/>
      </w:r>
      <w:r>
        <w:rPr>
          <w:rFonts w:ascii="Titillium" w:hAnsi="Titillium"/>
          <w:b/>
          <w:i/>
          <w:sz w:val="20"/>
          <w:szCs w:val="20"/>
        </w:rPr>
        <w:tab/>
      </w:r>
      <w:r>
        <w:rPr>
          <w:rFonts w:ascii="Titillium" w:hAnsi="Titillium"/>
          <w:b/>
          <w:i/>
          <w:sz w:val="20"/>
          <w:szCs w:val="20"/>
        </w:rPr>
        <w:tab/>
      </w:r>
    </w:p>
    <w:sectPr w:rsidR="00BC6C1A">
      <w:headerReference w:type="default" r:id="rId9"/>
      <w:pgSz w:w="11906" w:h="16838"/>
      <w:pgMar w:top="1417" w:right="1134" w:bottom="708" w:left="1134" w:header="708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85F65" w14:textId="77777777" w:rsidR="005F50E3" w:rsidRDefault="005F50E3">
      <w:pPr>
        <w:spacing w:after="0" w:line="240" w:lineRule="auto"/>
      </w:pPr>
      <w:r>
        <w:separator/>
      </w:r>
    </w:p>
  </w:endnote>
  <w:endnote w:type="continuationSeparator" w:id="0">
    <w:p w14:paraId="058C6176" w14:textId="77777777" w:rsidR="005F50E3" w:rsidRDefault="005F5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tillium">
    <w:altName w:val="Times New Roman"/>
    <w:charset w:val="00"/>
    <w:family w:val="roman"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E86B5" w14:textId="77777777" w:rsidR="005F50E3" w:rsidRDefault="005F50E3">
      <w:pPr>
        <w:spacing w:after="0" w:line="240" w:lineRule="auto"/>
      </w:pPr>
      <w:r>
        <w:separator/>
      </w:r>
    </w:p>
  </w:footnote>
  <w:footnote w:type="continuationSeparator" w:id="0">
    <w:p w14:paraId="197A07E3" w14:textId="77777777" w:rsidR="005F50E3" w:rsidRDefault="005F50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CA53A" w14:textId="77777777" w:rsidR="00325886" w:rsidRDefault="00297B3C">
    <w:pPr>
      <w:pStyle w:val="Intestazione"/>
      <w:jc w:val="right"/>
      <w:rPr>
        <w:rFonts w:ascii="Garamond" w:hAnsi="Garamond"/>
        <w:b/>
      </w:rPr>
    </w:pPr>
    <w:r>
      <w:rPr>
        <w:rFonts w:ascii="Garamond" w:hAnsi="Garamond"/>
        <w:b/>
        <w:noProof/>
        <w:lang w:eastAsia="it-IT"/>
      </w:rPr>
      <w:drawing>
        <wp:anchor distT="0" distB="0" distL="114300" distR="114300" simplePos="0" relativeHeight="2" behindDoc="0" locked="0" layoutInCell="0" allowOverlap="1" wp14:anchorId="2A7628FB" wp14:editId="120EE0D5">
          <wp:simplePos x="0" y="0"/>
          <wp:positionH relativeFrom="margin">
            <wp:posOffset>-271780</wp:posOffset>
          </wp:positionH>
          <wp:positionV relativeFrom="topMargin">
            <wp:posOffset>453390</wp:posOffset>
          </wp:positionV>
          <wp:extent cx="2879725" cy="341630"/>
          <wp:effectExtent l="0" t="0" r="0" b="0"/>
          <wp:wrapSquare wrapText="bothSides"/>
          <wp:docPr id="1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879725" cy="341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9EB72B2" w14:textId="77777777" w:rsidR="00325886" w:rsidRDefault="00325886">
    <w:pPr>
      <w:pStyle w:val="Intestazione"/>
      <w:jc w:val="right"/>
      <w:rPr>
        <w:rFonts w:ascii="Garamond" w:hAnsi="Garamond"/>
        <w:b/>
      </w:rPr>
    </w:pPr>
  </w:p>
  <w:p w14:paraId="489BDB39" w14:textId="77777777" w:rsidR="00325886" w:rsidRDefault="00297B3C">
    <w:pPr>
      <w:pStyle w:val="Intestazione"/>
      <w:tabs>
        <w:tab w:val="left" w:pos="3878"/>
      </w:tabs>
      <w:rPr>
        <w:rFonts w:ascii="Garamond" w:hAnsi="Garamond"/>
        <w:b/>
      </w:rPr>
    </w:pPr>
    <w:r>
      <w:rPr>
        <w:rFonts w:ascii="Garamond" w:hAnsi="Garamond"/>
        <w:b/>
      </w:rPr>
      <w:tab/>
    </w:r>
    <w:r>
      <w:rPr>
        <w:rFonts w:ascii="Garamond" w:hAnsi="Garamond"/>
        <w:b/>
      </w:rPr>
      <w:tab/>
    </w:r>
  </w:p>
  <w:p w14:paraId="1E35FB44" w14:textId="77777777" w:rsidR="00325886" w:rsidRDefault="00297B3C">
    <w:pPr>
      <w:pStyle w:val="Intestazione"/>
      <w:jc w:val="right"/>
      <w:rPr>
        <w:rFonts w:ascii="Titillium" w:hAnsi="Titillium" w:cs="Times New Roman"/>
        <w:b/>
        <w:sz w:val="20"/>
        <w:szCs w:val="20"/>
      </w:rPr>
    </w:pPr>
    <w:r>
      <w:rPr>
        <w:rFonts w:ascii="Titillium" w:hAnsi="Titillium"/>
        <w:b/>
        <w:sz w:val="20"/>
        <w:szCs w:val="20"/>
      </w:rPr>
      <w:t xml:space="preserve">Allegato 3 alla </w:t>
    </w:r>
    <w:r>
      <w:rPr>
        <w:rFonts w:ascii="Titillium" w:hAnsi="Titillium" w:cs="Times New Roman"/>
        <w:b/>
        <w:sz w:val="20"/>
        <w:szCs w:val="20"/>
      </w:rPr>
      <w:t>delibera ANAC n. 294/2021</w:t>
    </w:r>
  </w:p>
  <w:p w14:paraId="17F52637" w14:textId="77777777" w:rsidR="00325886" w:rsidRDefault="00325886">
    <w:pPr>
      <w:pStyle w:val="Intestazione"/>
      <w:jc w:val="right"/>
      <w:rPr>
        <w:rFonts w:ascii="Garamond" w:hAnsi="Garamond" w:cs="Times New Roman"/>
        <w:b/>
      </w:rPr>
    </w:pPr>
  </w:p>
  <w:p w14:paraId="32C7BC89" w14:textId="77777777" w:rsidR="00325886" w:rsidRDefault="00325886">
    <w:pPr>
      <w:pStyle w:val="Intestazione"/>
      <w:jc w:val="right"/>
      <w:rPr>
        <w:rFonts w:ascii="Garamond" w:hAnsi="Garamond" w:cs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948A2"/>
    <w:multiLevelType w:val="multilevel"/>
    <w:tmpl w:val="5C160CE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D112470"/>
    <w:multiLevelType w:val="multilevel"/>
    <w:tmpl w:val="4CCA53D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1267E06"/>
    <w:multiLevelType w:val="multilevel"/>
    <w:tmpl w:val="FCB6996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886"/>
    <w:rsid w:val="00297B3C"/>
    <w:rsid w:val="002A3EB5"/>
    <w:rsid w:val="00325886"/>
    <w:rsid w:val="005F50E3"/>
    <w:rsid w:val="00BC6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CC0CB"/>
  <w15:docId w15:val="{CD6D60AE-D424-4208-9C41-B1DA463F5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keepNext/>
      <w:widowControl w:val="0"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Richiamoallanotaapidipagina">
    <w:name w:val="Richiamo alla nota a piè di pagina"/>
    <w:rPr>
      <w:sz w:val="14"/>
      <w:vertAlign w:val="superscript"/>
    </w:rPr>
  </w:style>
  <w:style w:type="character" w:customStyle="1" w:styleId="FootnoteCharacters">
    <w:name w:val="Footnote Characters"/>
    <w:basedOn w:val="Carpredefinitoparagrafo"/>
    <w:qFormat/>
    <w:rPr>
      <w:sz w:val="14"/>
      <w:vertAlign w:val="superscript"/>
    </w:rPr>
  </w:style>
  <w:style w:type="character" w:customStyle="1" w:styleId="TestonotaapidipaginaCarattere">
    <w:name w:val="Testo nota a piè di pagina Carattere"/>
    <w:basedOn w:val="Carpredefinitoparagrafo"/>
    <w:qFormat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qFormat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qFormat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Carpredefinitoparagrafo"/>
    <w:qFormat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qFormat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qFormat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qFormat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qFormat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qFormat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qFormat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qFormat/>
    <w:rPr>
      <w:rFonts w:ascii="Courier New" w:hAnsi="Courier New" w:cs="Courier New"/>
    </w:rPr>
  </w:style>
  <w:style w:type="character" w:customStyle="1" w:styleId="WWCharLFO13LVL3">
    <w:name w:val="WW_CharLFO13LVL3"/>
    <w:qFormat/>
    <w:rPr>
      <w:rFonts w:ascii="Wingdings" w:hAnsi="Wingdings"/>
    </w:rPr>
  </w:style>
  <w:style w:type="character" w:customStyle="1" w:styleId="WWCharLFO13LVL4">
    <w:name w:val="WW_CharLFO13LVL4"/>
    <w:qFormat/>
    <w:rPr>
      <w:rFonts w:ascii="Symbol" w:hAnsi="Symbol"/>
    </w:rPr>
  </w:style>
  <w:style w:type="character" w:customStyle="1" w:styleId="WWCharLFO13LVL5">
    <w:name w:val="WW_CharLFO13LVL5"/>
    <w:qFormat/>
    <w:rPr>
      <w:rFonts w:ascii="Courier New" w:hAnsi="Courier New" w:cs="Courier New"/>
    </w:rPr>
  </w:style>
  <w:style w:type="character" w:customStyle="1" w:styleId="WWCharLFO13LVL6">
    <w:name w:val="WW_CharLFO13LVL6"/>
    <w:qFormat/>
    <w:rPr>
      <w:rFonts w:ascii="Wingdings" w:hAnsi="Wingdings"/>
    </w:rPr>
  </w:style>
  <w:style w:type="character" w:customStyle="1" w:styleId="WWCharLFO13LVL7">
    <w:name w:val="WW_CharLFO13LVL7"/>
    <w:qFormat/>
    <w:rPr>
      <w:rFonts w:ascii="Symbol" w:hAnsi="Symbol"/>
    </w:rPr>
  </w:style>
  <w:style w:type="character" w:customStyle="1" w:styleId="WWCharLFO13LVL8">
    <w:name w:val="WW_CharLFO13LVL8"/>
    <w:qFormat/>
    <w:rPr>
      <w:rFonts w:ascii="Courier New" w:hAnsi="Courier New" w:cs="Courier New"/>
    </w:rPr>
  </w:style>
  <w:style w:type="character" w:customStyle="1" w:styleId="WWCharLFO13LVL9">
    <w:name w:val="WW_CharLFO13LVL9"/>
    <w:qFormat/>
    <w:rPr>
      <w:rFonts w:ascii="Wingdings" w:hAnsi="Wingdings"/>
    </w:rPr>
  </w:style>
  <w:style w:type="character" w:customStyle="1" w:styleId="WWCharLFO15LVL1">
    <w:name w:val="WW_CharLFO15LVL1"/>
    <w:qFormat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qFormat/>
    <w:rPr>
      <w:rFonts w:ascii="Courier New" w:hAnsi="Courier New" w:cs="Courier New"/>
    </w:rPr>
  </w:style>
  <w:style w:type="character" w:customStyle="1" w:styleId="WWCharLFO15LVL3">
    <w:name w:val="WW_CharLFO15LVL3"/>
    <w:qFormat/>
    <w:rPr>
      <w:rFonts w:ascii="Wingdings" w:hAnsi="Wingdings"/>
    </w:rPr>
  </w:style>
  <w:style w:type="character" w:customStyle="1" w:styleId="WWCharLFO15LVL4">
    <w:name w:val="WW_CharLFO15LVL4"/>
    <w:qFormat/>
    <w:rPr>
      <w:rFonts w:ascii="Symbol" w:hAnsi="Symbol"/>
    </w:rPr>
  </w:style>
  <w:style w:type="character" w:customStyle="1" w:styleId="WWCharLFO15LVL5">
    <w:name w:val="WW_CharLFO15LVL5"/>
    <w:qFormat/>
    <w:rPr>
      <w:rFonts w:ascii="Courier New" w:hAnsi="Courier New" w:cs="Courier New"/>
    </w:rPr>
  </w:style>
  <w:style w:type="character" w:customStyle="1" w:styleId="WWCharLFO15LVL6">
    <w:name w:val="WW_CharLFO15LVL6"/>
    <w:qFormat/>
    <w:rPr>
      <w:rFonts w:ascii="Wingdings" w:hAnsi="Wingdings"/>
    </w:rPr>
  </w:style>
  <w:style w:type="character" w:customStyle="1" w:styleId="WWCharLFO15LVL7">
    <w:name w:val="WW_CharLFO15LVL7"/>
    <w:qFormat/>
    <w:rPr>
      <w:rFonts w:ascii="Symbol" w:hAnsi="Symbol"/>
    </w:rPr>
  </w:style>
  <w:style w:type="character" w:customStyle="1" w:styleId="WWCharLFO15LVL8">
    <w:name w:val="WW_CharLFO15LVL8"/>
    <w:qFormat/>
    <w:rPr>
      <w:rFonts w:ascii="Courier New" w:hAnsi="Courier New" w:cs="Courier New"/>
    </w:rPr>
  </w:style>
  <w:style w:type="character" w:customStyle="1" w:styleId="WWCharLFO15LVL9">
    <w:name w:val="WW_CharLFO15LVL9"/>
    <w:qFormat/>
    <w:rPr>
      <w:rFonts w:ascii="Wingdings" w:hAnsi="Wingdings"/>
    </w:rPr>
  </w:style>
  <w:style w:type="character" w:customStyle="1" w:styleId="Caratteredellanota">
    <w:name w:val="Carattere della nota"/>
    <w:qFormat/>
  </w:style>
  <w:style w:type="paragraph" w:styleId="Titolo">
    <w:name w:val="Title"/>
    <w:basedOn w:val="Normale"/>
    <w:next w:val="Corpotesto1"/>
    <w:autoRedefine/>
    <w:qFormat/>
    <w:p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customStyle="1" w:styleId="Corpotesto1">
    <w:name w:val="Corpo testo1"/>
    <w:basedOn w:val="Normale"/>
  </w:style>
  <w:style w:type="paragraph" w:styleId="Elenco">
    <w:name w:val="List"/>
    <w:basedOn w:val="Corpotesto1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/>
    </w:pPr>
    <w:rPr>
      <w:rFonts w:cs="Arial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qFormat/>
    <w:pPr>
      <w:ind w:left="357" w:hanging="357"/>
    </w:p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qFormat/>
    <w:pPr>
      <w:keepNext/>
      <w:spacing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qFormat/>
    <w:rPr>
      <w:sz w:val="20"/>
      <w:szCs w:val="20"/>
    </w:rPr>
  </w:style>
  <w:style w:type="paragraph" w:styleId="Soggettocommento">
    <w:name w:val="annotation subject"/>
    <w:basedOn w:val="Testocommento"/>
    <w:next w:val="Testocommento"/>
    <w:qFormat/>
    <w:rPr>
      <w:b/>
      <w:bCs/>
    </w:rPr>
  </w:style>
  <w:style w:type="paragraph" w:styleId="Testofumetto">
    <w:name w:val="Balloon Text"/>
    <w:basedOn w:val="Normale"/>
    <w:qFormat/>
    <w:pPr>
      <w:spacing w:after="0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i.siciliani</dc:creator>
  <dc:description/>
  <cp:lastModifiedBy>LuPa</cp:lastModifiedBy>
  <cp:revision>3</cp:revision>
  <cp:lastPrinted>2018-02-28T15:30:00Z</cp:lastPrinted>
  <dcterms:created xsi:type="dcterms:W3CDTF">2021-05-31T14:56:00Z</dcterms:created>
  <dcterms:modified xsi:type="dcterms:W3CDTF">2021-05-31T15:40:00Z</dcterms:modified>
  <dc:language>it-IT</dc:language>
</cp:coreProperties>
</file>